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关于举办2019东北大学</w:t>
      </w:r>
    </w:p>
    <w:p>
      <w:pPr>
        <w:ind w:firstLine="883" w:firstLineChars="200"/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第三届“好讲师”大赛的通知</w:t>
      </w:r>
    </w:p>
    <w:p>
      <w:pPr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各有关单位：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学习贯彻习近平总书记在全国教育大会上提出的“坚持深化教育改革创新，办好新时代继续教育”的重要讲话精神，结合十九大报告中首次提出“办好继续教育、加快学习型社会、大力提高国民素质”的要求，加快培养党和国家需要的高素质专门人才和拔尖创新人才，推动我国专业人才队伍建设，根据《专业技术人才知识更新工程实施方案》（人社部发[2011]112号）文件精神，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为充分发掘甄选中国培训讲师优秀力量，促进中国培训师资能力和水平提升，助力学习型组织建设和经济社会的转型发展，作为国家</w:t>
      </w:r>
      <w:r>
        <w:rPr>
          <w:rFonts w:ascii="仿宋" w:hAnsi="仿宋" w:eastAsia="仿宋" w:cs="仿宋"/>
          <w:sz w:val="28"/>
          <w:szCs w:val="28"/>
          <w:lang w:val="zh-CN"/>
        </w:rPr>
        <w:t>专业技术人才继续教育基地，</w:t>
      </w:r>
      <w:r>
        <w:rPr>
          <w:rFonts w:hint="eastAsia" w:ascii="仿宋" w:hAnsi="仿宋" w:eastAsia="仿宋" w:cs="仿宋"/>
          <w:sz w:val="28"/>
          <w:szCs w:val="28"/>
        </w:rPr>
        <w:t>东北大学计划近期启动2019东北大学第三届“好讲师”大赛。</w:t>
      </w:r>
    </w:p>
    <w:p>
      <w:pPr>
        <w:keepNext/>
        <w:keepLines/>
        <w:numPr>
          <w:ilvl w:val="0"/>
          <w:numId w:val="1"/>
        </w:numPr>
        <w:ind w:firstLine="0"/>
        <w:outlineLvl w:val="1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大赛背景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作为国家级专业技术人才继续教育基地，东北大学是国家培养培训高层次、急需紧缺和骨干专业技术人才的服务平台。面向全国政府机关及企事业单位开展</w:t>
      </w:r>
      <w:r>
        <w:rPr>
          <w:rFonts w:ascii="仿宋" w:hAnsi="仿宋" w:eastAsia="仿宋" w:cs="仿宋"/>
          <w:sz w:val="28"/>
          <w:szCs w:val="28"/>
        </w:rPr>
        <w:t>人才培养和教育</w:t>
      </w:r>
      <w:r>
        <w:rPr>
          <w:rFonts w:hint="eastAsia" w:ascii="仿宋" w:hAnsi="仿宋" w:eastAsia="仿宋" w:cs="仿宋"/>
          <w:sz w:val="28"/>
          <w:szCs w:val="28"/>
        </w:rPr>
        <w:t>培训活动，每年在我校接受继续教育培训</w:t>
      </w:r>
      <w:r>
        <w:rPr>
          <w:rFonts w:ascii="仿宋" w:hAnsi="仿宋" w:eastAsia="仿宋" w:cs="仿宋"/>
          <w:sz w:val="28"/>
          <w:szCs w:val="28"/>
        </w:rPr>
        <w:t>的学员近</w:t>
      </w:r>
      <w:r>
        <w:rPr>
          <w:rFonts w:hint="eastAsia" w:ascii="仿宋" w:hAnsi="仿宋" w:eastAsia="仿宋" w:cs="仿宋"/>
          <w:sz w:val="28"/>
          <w:szCs w:val="28"/>
        </w:rPr>
        <w:t>万人次。通过“好讲师”大赛，</w:t>
      </w:r>
      <w:r>
        <w:rPr>
          <w:rFonts w:ascii="仿宋" w:hAnsi="仿宋" w:eastAsia="仿宋" w:cs="仿宋"/>
          <w:sz w:val="28"/>
          <w:szCs w:val="28"/>
        </w:rPr>
        <w:t>旨在</w:t>
      </w:r>
      <w:r>
        <w:rPr>
          <w:rFonts w:hint="eastAsia" w:ascii="仿宋" w:hAnsi="仿宋" w:eastAsia="仿宋" w:cs="仿宋"/>
          <w:sz w:val="28"/>
          <w:szCs w:val="28"/>
        </w:rPr>
        <w:t>通过公平、公正、专业的培训技能</w:t>
      </w:r>
      <w:r>
        <w:rPr>
          <w:rFonts w:ascii="仿宋" w:hAnsi="仿宋" w:eastAsia="仿宋" w:cs="仿宋"/>
          <w:sz w:val="28"/>
          <w:szCs w:val="28"/>
        </w:rPr>
        <w:t>大赛</w:t>
      </w:r>
      <w:r>
        <w:rPr>
          <w:rFonts w:hint="eastAsia" w:ascii="仿宋" w:hAnsi="仿宋" w:eastAsia="仿宋" w:cs="仿宋"/>
          <w:sz w:val="28"/>
          <w:szCs w:val="28"/>
        </w:rPr>
        <w:t>，发掘、</w:t>
      </w:r>
      <w:r>
        <w:rPr>
          <w:rFonts w:ascii="仿宋" w:hAnsi="仿宋" w:eastAsia="仿宋" w:cs="仿宋"/>
          <w:sz w:val="28"/>
          <w:szCs w:val="28"/>
        </w:rPr>
        <w:t>发现新的培训讲师资源</w:t>
      </w:r>
      <w:r>
        <w:rPr>
          <w:rFonts w:hint="eastAsia" w:ascii="仿宋" w:hAnsi="仿宋" w:eastAsia="仿宋" w:cs="仿宋"/>
          <w:sz w:val="28"/>
          <w:szCs w:val="28"/>
        </w:rPr>
        <w:t>和</w:t>
      </w:r>
      <w:r>
        <w:rPr>
          <w:rFonts w:ascii="仿宋" w:hAnsi="仿宋" w:eastAsia="仿宋" w:cs="仿宋"/>
          <w:sz w:val="28"/>
          <w:szCs w:val="28"/>
        </w:rPr>
        <w:t>课程资源，</w:t>
      </w:r>
      <w:r>
        <w:rPr>
          <w:rFonts w:hint="eastAsia" w:ascii="仿宋" w:hAnsi="仿宋" w:eastAsia="仿宋" w:cs="仿宋"/>
          <w:sz w:val="28"/>
          <w:szCs w:val="28"/>
        </w:rPr>
        <w:t>并为</w:t>
      </w:r>
      <w:r>
        <w:rPr>
          <w:rFonts w:ascii="仿宋" w:hAnsi="仿宋" w:eastAsia="仿宋" w:cs="仿宋"/>
          <w:sz w:val="28"/>
          <w:szCs w:val="28"/>
        </w:rPr>
        <w:t>部分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具备</w:t>
      </w:r>
      <w:r>
        <w:rPr>
          <w:rFonts w:ascii="仿宋" w:hAnsi="仿宋" w:eastAsia="仿宋" w:cs="仿宋"/>
          <w:sz w:val="28"/>
          <w:szCs w:val="28"/>
        </w:rPr>
        <w:t>优秀潜质的讲师提供</w:t>
      </w:r>
      <w:r>
        <w:rPr>
          <w:rFonts w:hint="eastAsia" w:ascii="仿宋" w:hAnsi="仿宋" w:eastAsia="仿宋" w:cs="仿宋"/>
          <w:sz w:val="28"/>
          <w:szCs w:val="28"/>
        </w:rPr>
        <w:t>培养、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提升</w:t>
      </w:r>
      <w:r>
        <w:rPr>
          <w:rFonts w:ascii="仿宋" w:hAnsi="仿宋" w:eastAsia="仿宋" w:cs="仿宋"/>
          <w:sz w:val="28"/>
          <w:szCs w:val="28"/>
        </w:rPr>
        <w:t>和</w:t>
      </w:r>
      <w:r>
        <w:rPr>
          <w:rFonts w:hint="eastAsia" w:ascii="仿宋" w:hAnsi="仿宋" w:eastAsia="仿宋" w:cs="仿宋"/>
          <w:sz w:val="28"/>
          <w:szCs w:val="28"/>
        </w:rPr>
        <w:t>优先聘用的</w:t>
      </w:r>
      <w:r>
        <w:rPr>
          <w:rFonts w:ascii="仿宋" w:hAnsi="仿宋" w:eastAsia="仿宋" w:cs="仿宋"/>
          <w:sz w:val="28"/>
          <w:szCs w:val="28"/>
        </w:rPr>
        <w:t>机会</w:t>
      </w:r>
      <w:r>
        <w:rPr>
          <w:rFonts w:hint="eastAsia" w:ascii="仿宋" w:hAnsi="仿宋" w:eastAsia="仿宋" w:cs="仿宋"/>
          <w:sz w:val="28"/>
          <w:szCs w:val="28"/>
        </w:rPr>
        <w:t>，为继续</w:t>
      </w:r>
      <w:r>
        <w:rPr>
          <w:rFonts w:ascii="仿宋" w:hAnsi="仿宋" w:eastAsia="仿宋" w:cs="仿宋"/>
          <w:sz w:val="28"/>
          <w:szCs w:val="28"/>
        </w:rPr>
        <w:t>教育</w:t>
      </w:r>
      <w:r>
        <w:rPr>
          <w:rFonts w:hint="eastAsia" w:ascii="仿宋" w:hAnsi="仿宋" w:eastAsia="仿宋" w:cs="仿宋"/>
          <w:sz w:val="28"/>
          <w:szCs w:val="28"/>
        </w:rPr>
        <w:t>基地的持续稳定发展提供坚强的智力支持和</w:t>
      </w:r>
      <w:r>
        <w:rPr>
          <w:rFonts w:ascii="仿宋" w:hAnsi="仿宋" w:eastAsia="仿宋" w:cs="仿宋"/>
          <w:sz w:val="28"/>
          <w:szCs w:val="28"/>
        </w:rPr>
        <w:t>人才保障，并通过</w:t>
      </w:r>
      <w:r>
        <w:rPr>
          <w:rFonts w:hint="eastAsia" w:ascii="仿宋" w:hAnsi="仿宋" w:eastAsia="仿宋" w:cs="仿宋"/>
          <w:sz w:val="28"/>
          <w:szCs w:val="28"/>
        </w:rPr>
        <w:t>制度化</w:t>
      </w:r>
      <w:r>
        <w:rPr>
          <w:rFonts w:ascii="仿宋" w:hAnsi="仿宋" w:eastAsia="仿宋" w:cs="仿宋"/>
          <w:sz w:val="28"/>
          <w:szCs w:val="28"/>
        </w:rPr>
        <w:t>的活动</w:t>
      </w:r>
      <w:r>
        <w:rPr>
          <w:rFonts w:hint="eastAsia" w:ascii="仿宋" w:hAnsi="仿宋" w:eastAsia="仿宋" w:cs="仿宋"/>
          <w:sz w:val="28"/>
          <w:szCs w:val="28"/>
        </w:rPr>
        <w:t>打造一个</w:t>
      </w:r>
      <w:r>
        <w:rPr>
          <w:rFonts w:ascii="仿宋" w:hAnsi="仿宋" w:eastAsia="仿宋" w:cs="仿宋"/>
          <w:sz w:val="28"/>
          <w:szCs w:val="28"/>
        </w:rPr>
        <w:t>培训师学习、交流、</w:t>
      </w:r>
      <w:r>
        <w:rPr>
          <w:rFonts w:hint="eastAsia" w:ascii="仿宋" w:hAnsi="仿宋" w:eastAsia="仿宋" w:cs="仿宋"/>
          <w:sz w:val="28"/>
          <w:szCs w:val="28"/>
        </w:rPr>
        <w:t>展示</w:t>
      </w:r>
      <w:r>
        <w:rPr>
          <w:rFonts w:ascii="仿宋" w:hAnsi="仿宋" w:eastAsia="仿宋" w:cs="仿宋"/>
          <w:sz w:val="28"/>
          <w:szCs w:val="28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互动平台。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keepNext/>
        <w:keepLines/>
        <w:numPr>
          <w:ilvl w:val="0"/>
          <w:numId w:val="1"/>
        </w:numPr>
        <w:ind w:firstLine="0"/>
        <w:outlineLvl w:val="1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好讲师大赛目标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仿宋" w:hAnsi="仿宋" w:eastAsia="仿宋" w:cs="仿宋"/>
          <w:bCs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  <w:lang w:val="zh-CN"/>
        </w:rPr>
        <w:t>一是发掘部分优秀的企业内部培训讲师，</w:t>
      </w:r>
      <w:r>
        <w:rPr>
          <w:rFonts w:ascii="仿宋" w:hAnsi="仿宋" w:eastAsia="仿宋" w:cs="仿宋"/>
          <w:bCs/>
          <w:kern w:val="0"/>
          <w:sz w:val="28"/>
          <w:szCs w:val="28"/>
          <w:lang w:val="zh-CN"/>
        </w:rPr>
        <w:t>满足多样化培训需求</w:t>
      </w:r>
      <w:r>
        <w:rPr>
          <w:rFonts w:hint="eastAsia" w:ascii="仿宋" w:hAnsi="仿宋" w:eastAsia="仿宋" w:cs="仿宋"/>
          <w:bCs/>
          <w:kern w:val="0"/>
          <w:sz w:val="28"/>
          <w:szCs w:val="28"/>
          <w:lang w:val="zh-CN"/>
        </w:rPr>
        <w:t>；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仿宋" w:hAnsi="仿宋" w:eastAsia="仿宋" w:cs="仿宋"/>
          <w:bCs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  <w:lang w:val="zh-CN"/>
        </w:rPr>
        <w:t>二是甄选部分优秀的培训课程和项目资源，助力企业和组织的绩效改善；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仿宋" w:hAnsi="仿宋" w:eastAsia="仿宋" w:cs="仿宋"/>
          <w:bCs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  <w:lang w:val="zh-CN"/>
        </w:rPr>
        <w:t>三是助推优质培训资源共享与需求</w:t>
      </w:r>
      <w:r>
        <w:rPr>
          <w:rFonts w:ascii="仿宋" w:hAnsi="仿宋" w:eastAsia="仿宋" w:cs="仿宋"/>
          <w:bCs/>
          <w:kern w:val="0"/>
          <w:sz w:val="28"/>
          <w:szCs w:val="28"/>
          <w:lang w:val="zh-CN"/>
        </w:rPr>
        <w:t>的</w:t>
      </w:r>
      <w:r>
        <w:rPr>
          <w:rFonts w:hint="eastAsia" w:ascii="仿宋" w:hAnsi="仿宋" w:eastAsia="仿宋" w:cs="仿宋"/>
          <w:bCs/>
          <w:kern w:val="0"/>
          <w:sz w:val="28"/>
          <w:szCs w:val="28"/>
          <w:lang w:val="zh-CN"/>
        </w:rPr>
        <w:t>对接，助力转型发展和知识传承；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仿宋" w:hAnsi="仿宋" w:eastAsia="仿宋" w:cs="仿宋"/>
          <w:bCs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  <w:lang w:val="zh-CN"/>
        </w:rPr>
        <w:t>四是打造东北大学基地高水平讲师队伍，</w:t>
      </w:r>
      <w:r>
        <w:rPr>
          <w:rFonts w:hint="eastAsia" w:ascii="仿宋" w:hAnsi="仿宋" w:eastAsia="仿宋" w:cs="仿宋"/>
          <w:spacing w:val="8"/>
          <w:sz w:val="28"/>
          <w:szCs w:val="28"/>
        </w:rPr>
        <w:t>确保培训工作持续、健康发展。</w:t>
      </w:r>
    </w:p>
    <w:p>
      <w:pPr>
        <w:keepNext/>
        <w:keepLines/>
        <w:numPr>
          <w:ilvl w:val="0"/>
          <w:numId w:val="1"/>
        </w:numPr>
        <w:ind w:firstLine="0"/>
        <w:outlineLvl w:val="1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专家团队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仿宋" w:hAnsi="仿宋" w:eastAsia="仿宋" w:cs="仿宋"/>
          <w:bCs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  <w:lang w:val="zh-CN"/>
        </w:rPr>
        <w:t>本期大赛拟邀请培训领域知名专家、知名高校培训工作负责人、企业大学校长、培训机构负责人、学习型社群负责人以及部分知名讲师组成专家评委团。</w:t>
      </w:r>
    </w:p>
    <w:p>
      <w:pPr>
        <w:keepNext/>
        <w:keepLines/>
        <w:numPr>
          <w:ilvl w:val="0"/>
          <w:numId w:val="1"/>
        </w:numPr>
        <w:ind w:firstLine="0"/>
        <w:outlineLvl w:val="1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赛程安排</w:t>
      </w:r>
    </w:p>
    <w:p>
      <w:pPr>
        <w:pStyle w:val="5"/>
        <w:spacing w:beforeAutospacing="0" w:afterAutospacing="0" w:line="450" w:lineRule="atLeast"/>
        <w:ind w:firstLine="450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</w:rPr>
        <w:t>3月--4月：成立大赛筹备组、确定大赛执行方案</w:t>
      </w:r>
    </w:p>
    <w:p>
      <w:pPr>
        <w:pStyle w:val="5"/>
        <w:spacing w:beforeAutospacing="0" w:afterAutospacing="0" w:line="450" w:lineRule="atLeast"/>
        <w:ind w:firstLine="450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</w:rPr>
        <w:t>4月—5月：启动大赛报名、资料收集、资格评定、公布复赛名单</w:t>
      </w:r>
    </w:p>
    <w:p>
      <w:pPr>
        <w:pStyle w:val="5"/>
        <w:spacing w:beforeAutospacing="0" w:afterAutospacing="0" w:line="450" w:lineRule="atLeast"/>
        <w:ind w:firstLine="560" w:firstLineChars="200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</w:rPr>
        <w:t>6月份：开展复赛和决赛、颁奖典礼、大赛活动总结</w:t>
      </w:r>
    </w:p>
    <w:p>
      <w:pPr>
        <w:keepNext/>
        <w:keepLines/>
        <w:numPr>
          <w:ilvl w:val="0"/>
          <w:numId w:val="1"/>
        </w:numPr>
        <w:ind w:firstLine="0"/>
        <w:outlineLvl w:val="1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赛事安排及奖项设置</w:t>
      </w:r>
    </w:p>
    <w:p>
      <w:pPr>
        <w:pStyle w:val="5"/>
        <w:spacing w:beforeAutospacing="0" w:afterAutospacing="0" w:line="450" w:lineRule="atLeast"/>
        <w:ind w:firstLine="450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</w:rPr>
        <w:t>1、报名与筛选：大赛组委会发布报名通知，收集报名材料、组织专家进行评估打分，提交初选评估成绩统计表，公布进入复赛100名选手名单。</w:t>
      </w:r>
    </w:p>
    <w:p>
      <w:pPr>
        <w:pStyle w:val="5"/>
        <w:spacing w:beforeAutospacing="0" w:afterAutospacing="0" w:line="450" w:lineRule="atLeast"/>
        <w:ind w:firstLine="450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</w:rPr>
        <w:t>2、复赛：复赛和决赛均采用“专题演讲”方式在东北大学举行，每位选手演讲时间10到15分钟，专家评审团将从讲师的个人表现力、课程创新度、课程专业度以及课程满意度等方面为讲师现场打分，最终确定20名选手参加决赛。进入复赛的选手可获得</w:t>
      </w:r>
      <w:r>
        <w:rPr>
          <w:rFonts w:hint="eastAsia" w:ascii="仿宋" w:hAnsi="仿宋" w:eastAsia="仿宋" w:cs="仿宋"/>
          <w:kern w:val="2"/>
          <w:sz w:val="28"/>
          <w:szCs w:val="28"/>
          <w:lang w:eastAsia="zh-CN"/>
        </w:rPr>
        <w:t>东北大学</w:t>
      </w:r>
      <w:r>
        <w:rPr>
          <w:rFonts w:hint="eastAsia" w:ascii="仿宋" w:hAnsi="仿宋" w:eastAsia="仿宋" w:cs="仿宋"/>
          <w:kern w:val="2"/>
          <w:sz w:val="28"/>
          <w:szCs w:val="28"/>
        </w:rPr>
        <w:t>好讲师大赛“优秀奖”证书。</w:t>
      </w:r>
    </w:p>
    <w:p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3、决赛：决赛阶段设置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冠军、亚军、季军各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1名，</w:t>
      </w:r>
      <w:r>
        <w:rPr>
          <w:rFonts w:hint="eastAsia" w:ascii="仿宋" w:hAnsi="仿宋" w:eastAsia="仿宋" w:cs="仿宋"/>
          <w:sz w:val="28"/>
          <w:szCs w:val="28"/>
        </w:rPr>
        <w:t>一等奖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名，二等奖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名、三等奖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名，并颁发相应荣誉证书。</w:t>
      </w:r>
    </w:p>
    <w:p>
      <w:pPr>
        <w:keepNext/>
        <w:keepLines/>
        <w:numPr>
          <w:ilvl w:val="0"/>
          <w:numId w:val="1"/>
        </w:numPr>
        <w:ind w:firstLine="0"/>
        <w:outlineLvl w:val="1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报名条件</w:t>
      </w:r>
    </w:p>
    <w:p>
      <w:pPr>
        <w:pStyle w:val="5"/>
        <w:spacing w:beforeAutospacing="0" w:afterAutospacing="0" w:line="450" w:lineRule="atLeast"/>
        <w:ind w:firstLine="450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</w:rPr>
        <w:t>1、从事某领域实践工作及培训教学多年，具有扎实的理论功底和丰富的实践经验，专业知识结构全面，能高质量完成培训课程设计。</w:t>
      </w:r>
    </w:p>
    <w:p>
      <w:pPr>
        <w:pStyle w:val="5"/>
        <w:spacing w:beforeAutospacing="0" w:afterAutospacing="0" w:line="450" w:lineRule="atLeast"/>
        <w:ind w:firstLine="450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</w:rPr>
        <w:t xml:space="preserve">2、有2年以上企事业单位内部教育培训授课经验，具有较强的语言表达能力和现场教学组织能力。 </w:t>
      </w:r>
    </w:p>
    <w:p>
      <w:pPr>
        <w:pStyle w:val="5"/>
        <w:spacing w:beforeAutospacing="0" w:afterAutospacing="0" w:line="450" w:lineRule="atLeast"/>
        <w:ind w:firstLine="450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</w:rPr>
        <w:t>3、愿意通过优秀课程和项目的教学活动，将自身工作经验和专业技能与他人分享，使更多组织各个人受益的同时体现自身价值。</w:t>
      </w:r>
    </w:p>
    <w:p>
      <w:pPr>
        <w:keepNext/>
        <w:keepLines/>
        <w:numPr>
          <w:ilvl w:val="0"/>
          <w:numId w:val="1"/>
        </w:numPr>
        <w:ind w:firstLine="0"/>
        <w:outlineLvl w:val="1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赛事辅导与培训</w:t>
      </w:r>
    </w:p>
    <w:p>
      <w:pPr>
        <w:pStyle w:val="5"/>
        <w:spacing w:beforeAutospacing="0" w:afterAutospacing="0" w:line="450" w:lineRule="atLeast"/>
        <w:ind w:firstLine="450"/>
        <w:rPr>
          <w:rFonts w:ascii="仿宋" w:hAnsi="仿宋" w:eastAsia="仿宋" w:cs="仿宋"/>
          <w:kern w:val="2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</w:rPr>
        <w:t>1、东北大学将安排优秀的专家讲师团，采取训、练结合的学习方式提供专业的课程辅导和培训。</w:t>
      </w:r>
    </w:p>
    <w:p>
      <w:pPr>
        <w:pStyle w:val="5"/>
        <w:spacing w:beforeAutospacing="0" w:afterAutospacing="0" w:line="450" w:lineRule="atLeast"/>
        <w:ind w:firstLine="4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</w:rPr>
        <w:t>2、所有参赛选手均可参加线上辅导，了解比赛规则并学习培训技巧。对于进入复赛和决赛的选手，东北大学将统一安排线下辅导与培训，帮助参赛选手提高授课技能。</w:t>
      </w:r>
    </w:p>
    <w:p>
      <w:pPr>
        <w:keepNext/>
        <w:keepLines/>
        <w:numPr>
          <w:ilvl w:val="0"/>
          <w:numId w:val="1"/>
        </w:numPr>
        <w:ind w:firstLine="0"/>
        <w:outlineLvl w:val="1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报名方式及联系方式</w:t>
      </w:r>
    </w:p>
    <w:p>
      <w:pPr>
        <w:tabs>
          <w:tab w:val="left" w:pos="851"/>
          <w:tab w:val="left" w:pos="993"/>
          <w:tab w:val="left" w:pos="1276"/>
        </w:tabs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请参赛选手发送附件1和附件2到组委会工作邮箱，组委会组织专家对报名资料评审后发布复赛通知。各</w:t>
      </w:r>
      <w:r>
        <w:rPr>
          <w:rFonts w:ascii="仿宋" w:hAnsi="仿宋" w:eastAsia="仿宋" w:cs="仿宋"/>
          <w:sz w:val="28"/>
          <w:szCs w:val="28"/>
        </w:rPr>
        <w:t>学习型组织和企业也可</w:t>
      </w:r>
      <w:r>
        <w:rPr>
          <w:rFonts w:hint="eastAsia" w:ascii="仿宋" w:hAnsi="仿宋" w:eastAsia="仿宋" w:cs="仿宋"/>
          <w:sz w:val="28"/>
          <w:szCs w:val="28"/>
        </w:rPr>
        <w:t>在</w:t>
      </w:r>
      <w:r>
        <w:rPr>
          <w:rFonts w:ascii="仿宋" w:hAnsi="仿宋" w:eastAsia="仿宋" w:cs="仿宋"/>
          <w:sz w:val="28"/>
          <w:szCs w:val="28"/>
        </w:rPr>
        <w:t>初</w:t>
      </w:r>
      <w:r>
        <w:rPr>
          <w:rFonts w:hint="eastAsia" w:ascii="仿宋" w:hAnsi="仿宋" w:eastAsia="仿宋" w:cs="仿宋"/>
          <w:sz w:val="28"/>
          <w:szCs w:val="28"/>
        </w:rPr>
        <w:t>步</w:t>
      </w:r>
      <w:r>
        <w:rPr>
          <w:rFonts w:ascii="仿宋" w:hAnsi="仿宋" w:eastAsia="仿宋" w:cs="仿宋"/>
          <w:sz w:val="28"/>
          <w:szCs w:val="28"/>
        </w:rPr>
        <w:t>选</w:t>
      </w:r>
      <w:r>
        <w:rPr>
          <w:rFonts w:hint="eastAsia" w:ascii="仿宋" w:hAnsi="仿宋" w:eastAsia="仿宋" w:cs="仿宋"/>
          <w:sz w:val="28"/>
          <w:szCs w:val="28"/>
        </w:rPr>
        <w:t>拔</w:t>
      </w:r>
      <w:r>
        <w:rPr>
          <w:rFonts w:ascii="仿宋" w:hAnsi="仿宋" w:eastAsia="仿宋" w:cs="仿宋"/>
          <w:sz w:val="28"/>
          <w:szCs w:val="28"/>
        </w:rPr>
        <w:t>的基础上推荐选手参</w:t>
      </w:r>
      <w:r>
        <w:rPr>
          <w:rFonts w:hint="eastAsia" w:ascii="仿宋" w:hAnsi="仿宋" w:eastAsia="仿宋" w:cs="仿宋"/>
          <w:sz w:val="28"/>
          <w:szCs w:val="28"/>
        </w:rPr>
        <w:t>加</w:t>
      </w:r>
      <w:r>
        <w:rPr>
          <w:rFonts w:ascii="仿宋" w:hAnsi="仿宋" w:eastAsia="仿宋" w:cs="仿宋"/>
          <w:sz w:val="28"/>
          <w:szCs w:val="28"/>
        </w:rPr>
        <w:t>复赛，</w:t>
      </w:r>
      <w:r>
        <w:rPr>
          <w:rFonts w:hint="eastAsia" w:ascii="仿宋" w:hAnsi="仿宋" w:eastAsia="仿宋" w:cs="仿宋"/>
          <w:sz w:val="28"/>
          <w:szCs w:val="28"/>
        </w:rPr>
        <w:t>本次大赛由国家级基地建设经费提供支持，</w:t>
      </w:r>
      <w:r>
        <w:rPr>
          <w:rFonts w:ascii="仿宋" w:hAnsi="仿宋" w:eastAsia="仿宋" w:cs="仿宋"/>
          <w:sz w:val="28"/>
          <w:szCs w:val="28"/>
        </w:rPr>
        <w:t>不收取</w:t>
      </w:r>
      <w:r>
        <w:rPr>
          <w:rFonts w:hint="eastAsia" w:ascii="仿宋" w:hAnsi="仿宋" w:eastAsia="仿宋" w:cs="仿宋"/>
          <w:sz w:val="28"/>
          <w:szCs w:val="28"/>
        </w:rPr>
        <w:t>选手</w:t>
      </w:r>
      <w:r>
        <w:rPr>
          <w:rFonts w:ascii="仿宋" w:hAnsi="仿宋" w:eastAsia="仿宋" w:cs="仿宋"/>
          <w:sz w:val="28"/>
          <w:szCs w:val="28"/>
        </w:rPr>
        <w:t>费用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widowControl/>
        <w:tabs>
          <w:tab w:val="left" w:pos="720"/>
        </w:tabs>
        <w:adjustRightInd w:val="0"/>
        <w:spacing w:line="600" w:lineRule="exact"/>
        <w:ind w:firstLine="560" w:firstLineChars="200"/>
        <w:jc w:val="left"/>
        <w:textAlignment w:val="baseline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东北大学继续教育学院  滕松、王冉</w:t>
      </w:r>
    </w:p>
    <w:p>
      <w:pPr>
        <w:widowControl/>
        <w:tabs>
          <w:tab w:val="left" w:pos="720"/>
        </w:tabs>
        <w:adjustRightInd w:val="0"/>
        <w:spacing w:line="600" w:lineRule="exact"/>
        <w:ind w:firstLine="560" w:firstLineChars="200"/>
        <w:jc w:val="left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电话：024—83687663、15140003658（滕松）15940078455（王冉）</w:t>
      </w:r>
    </w:p>
    <w:p>
      <w:pPr>
        <w:tabs>
          <w:tab w:val="left" w:pos="851"/>
          <w:tab w:val="left" w:pos="993"/>
          <w:tab w:val="left" w:pos="1276"/>
        </w:tabs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组委会工作邮箱：</w:t>
      </w:r>
      <w:r>
        <w:fldChar w:fldCharType="begin"/>
      </w:r>
      <w:r>
        <w:instrText xml:space="preserve"> HYPERLINK "mailto:neucecpx@126.com、582135758@qq.com" </w:instrText>
      </w:r>
      <w:r>
        <w:fldChar w:fldCharType="separate"/>
      </w:r>
      <w:r>
        <w:rPr>
          <w:rStyle w:val="10"/>
          <w:rFonts w:hint="eastAsia" w:ascii="仿宋" w:hAnsi="仿宋" w:eastAsia="仿宋" w:cs="仿宋"/>
          <w:sz w:val="28"/>
          <w:szCs w:val="28"/>
        </w:rPr>
        <w:t>neucecpx@126.com、582135758@qq.com</w:t>
      </w:r>
      <w:r>
        <w:rPr>
          <w:rStyle w:val="10"/>
          <w:rFonts w:hint="eastAsia" w:ascii="仿宋" w:hAnsi="仿宋" w:eastAsia="仿宋" w:cs="仿宋"/>
          <w:sz w:val="28"/>
          <w:szCs w:val="28"/>
        </w:rPr>
        <w:fldChar w:fldCharType="end"/>
      </w:r>
    </w:p>
    <w:p>
      <w:pPr>
        <w:tabs>
          <w:tab w:val="left" w:pos="0"/>
        </w:tabs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东北大学继续教育学院</w:t>
      </w:r>
    </w:p>
    <w:p>
      <w:pPr>
        <w:pStyle w:val="5"/>
        <w:spacing w:beforeAutospacing="0" w:afterAutospacing="0" w:line="450" w:lineRule="atLeast"/>
        <w:ind w:left="42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二〇一九年四月</w:t>
      </w:r>
    </w:p>
    <w:p>
      <w:pPr>
        <w:pStyle w:val="5"/>
        <w:spacing w:beforeAutospacing="0" w:afterAutospacing="0" w:line="450" w:lineRule="atLeas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附件1：报名表</w:t>
      </w:r>
    </w:p>
    <w:p>
      <w:pPr>
        <w:jc w:val="center"/>
        <w:rPr>
          <w:rFonts w:ascii="等线" w:hAnsi="等线" w:eastAsia="等线" w:cs="等线"/>
          <w:bCs/>
          <w:sz w:val="28"/>
          <w:szCs w:val="28"/>
        </w:rPr>
      </w:pPr>
      <w:r>
        <w:rPr>
          <w:rFonts w:hint="eastAsia" w:ascii="等线" w:hAnsi="等线" w:eastAsia="等线" w:cs="等线"/>
          <w:bCs/>
          <w:sz w:val="28"/>
          <w:szCs w:val="28"/>
        </w:rPr>
        <w:t>东北大学第三届“好讲师”大赛报名表</w:t>
      </w:r>
    </w:p>
    <w:p>
      <w:pPr>
        <w:rPr>
          <w:rFonts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kern w:val="0"/>
          <w:szCs w:val="21"/>
        </w:rPr>
        <w:t>推荐单位（盖章）：</w:t>
      </w:r>
    </w:p>
    <w:tbl>
      <w:tblPr>
        <w:tblStyle w:val="6"/>
        <w:tblW w:w="9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1098"/>
        <w:gridCol w:w="1243"/>
        <w:gridCol w:w="1242"/>
        <w:gridCol w:w="61"/>
        <w:gridCol w:w="2424"/>
        <w:gridCol w:w="110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</w:trPr>
        <w:tc>
          <w:tcPr>
            <w:tcW w:w="13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姓名</w:t>
            </w:r>
          </w:p>
        </w:tc>
        <w:tc>
          <w:tcPr>
            <w:tcW w:w="234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性别</w:t>
            </w:r>
          </w:p>
        </w:tc>
        <w:tc>
          <w:tcPr>
            <w:tcW w:w="2534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37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证件照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</w:trPr>
        <w:tc>
          <w:tcPr>
            <w:tcW w:w="13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职称</w:t>
            </w:r>
          </w:p>
        </w:tc>
        <w:tc>
          <w:tcPr>
            <w:tcW w:w="234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职务</w:t>
            </w:r>
          </w:p>
        </w:tc>
        <w:tc>
          <w:tcPr>
            <w:tcW w:w="2534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375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</w:trPr>
        <w:tc>
          <w:tcPr>
            <w:tcW w:w="13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出生年月</w:t>
            </w:r>
          </w:p>
        </w:tc>
        <w:tc>
          <w:tcPr>
            <w:tcW w:w="234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常驻地</w:t>
            </w:r>
          </w:p>
        </w:tc>
        <w:tc>
          <w:tcPr>
            <w:tcW w:w="2534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375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</w:trPr>
        <w:tc>
          <w:tcPr>
            <w:tcW w:w="13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手机</w:t>
            </w:r>
          </w:p>
        </w:tc>
        <w:tc>
          <w:tcPr>
            <w:tcW w:w="234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QQ号</w:t>
            </w:r>
          </w:p>
        </w:tc>
        <w:tc>
          <w:tcPr>
            <w:tcW w:w="2534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375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</w:trPr>
        <w:tc>
          <w:tcPr>
            <w:tcW w:w="1387" w:type="dxa"/>
            <w:shd w:val="clear" w:color="auto" w:fill="auto"/>
            <w:vAlign w:val="center"/>
          </w:tcPr>
          <w:p>
            <w:pPr>
              <w:ind w:firstLine="210" w:firstLineChars="100"/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EMAIL</w:t>
            </w:r>
          </w:p>
        </w:tc>
        <w:tc>
          <w:tcPr>
            <w:tcW w:w="6178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375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940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个 人 介 绍（主要学习、工作经历）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7" w:hRule="atLeast"/>
        </w:trPr>
        <w:tc>
          <w:tcPr>
            <w:tcW w:w="9940" w:type="dxa"/>
            <w:gridSpan w:val="8"/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  <w:p>
            <w:pPr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  <w:p>
            <w:pPr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  <w:p>
            <w:pPr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  <w:p>
            <w:pPr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  <w:p>
            <w:pPr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  <w:p>
            <w:pPr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  <w:p>
            <w:pPr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  <w:p>
            <w:pPr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  <w:p>
            <w:pPr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  <w:p>
            <w:pPr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  <w:p>
            <w:pPr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  <w:p>
            <w:pPr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  <w:p>
            <w:pPr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  <w:p>
            <w:pPr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940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主 要 培 训 经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培训时间</w:t>
            </w: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单位/地点</w:t>
            </w: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培训对象</w:t>
            </w: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培训主题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kern w:val="0"/>
                <w:szCs w:val="21"/>
              </w:rPr>
            </w:pPr>
          </w:p>
        </w:tc>
      </w:tr>
    </w:tbl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t>附件2  课程介绍及大纲</w:t>
      </w:r>
    </w:p>
    <w:p>
      <w:pPr>
        <w:tabs>
          <w:tab w:val="left" w:pos="851"/>
          <w:tab w:val="left" w:pos="993"/>
          <w:tab w:val="left" w:pos="1276"/>
        </w:tabs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第一部分 课程</w:t>
      </w:r>
      <w:r>
        <w:rPr>
          <w:rFonts w:ascii="仿宋" w:hAnsi="仿宋" w:eastAsia="仿宋" w:cs="仿宋"/>
          <w:sz w:val="28"/>
          <w:szCs w:val="28"/>
        </w:rPr>
        <w:t>介绍</w:t>
      </w:r>
    </w:p>
    <w:p>
      <w:pPr>
        <w:tabs>
          <w:tab w:val="left" w:pos="851"/>
          <w:tab w:val="left" w:pos="993"/>
          <w:tab w:val="left" w:pos="1276"/>
        </w:tabs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一、课程名称：《XXX XXX   》---xxx(副标题)</w:t>
      </w:r>
    </w:p>
    <w:p>
      <w:pPr>
        <w:tabs>
          <w:tab w:val="left" w:pos="851"/>
          <w:tab w:val="left" w:pos="993"/>
          <w:tab w:val="left" w:pos="1276"/>
        </w:tabs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二、课程背景：</w:t>
      </w:r>
    </w:p>
    <w:p>
      <w:pPr>
        <w:tabs>
          <w:tab w:val="left" w:pos="851"/>
          <w:tab w:val="left" w:pos="993"/>
          <w:tab w:val="left" w:pos="1276"/>
        </w:tabs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三、适合对象：</w:t>
      </w:r>
    </w:p>
    <w:p>
      <w:pPr>
        <w:tabs>
          <w:tab w:val="left" w:pos="851"/>
          <w:tab w:val="left" w:pos="993"/>
          <w:tab w:val="left" w:pos="1276"/>
        </w:tabs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四、课时安排：X天（X小时/天）</w:t>
      </w:r>
    </w:p>
    <w:p>
      <w:pPr>
        <w:tabs>
          <w:tab w:val="left" w:pos="851"/>
          <w:tab w:val="left" w:pos="993"/>
          <w:tab w:val="left" w:pos="1276"/>
        </w:tabs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五、课堂形式：学员分X-X组，每组最多X人。</w:t>
      </w:r>
    </w:p>
    <w:p>
      <w:pPr>
        <w:tabs>
          <w:tab w:val="left" w:pos="851"/>
          <w:tab w:val="left" w:pos="993"/>
          <w:tab w:val="left" w:pos="1276"/>
        </w:tabs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六、课程特色：</w:t>
      </w:r>
    </w:p>
    <w:p>
      <w:pPr>
        <w:tabs>
          <w:tab w:val="left" w:pos="851"/>
          <w:tab w:val="left" w:pos="993"/>
          <w:tab w:val="left" w:pos="1276"/>
        </w:tabs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七、讲师介绍：</w:t>
      </w:r>
    </w:p>
    <w:p>
      <w:pPr>
        <w:tabs>
          <w:tab w:val="left" w:pos="851"/>
          <w:tab w:val="left" w:pos="993"/>
          <w:tab w:val="left" w:pos="1276"/>
        </w:tabs>
        <w:snapToGrid w:val="0"/>
        <w:ind w:firstLine="420" w:firstLineChars="1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第二部分：课程大纲</w:t>
      </w:r>
    </w:p>
    <w:p>
      <w:pPr>
        <w:pStyle w:val="5"/>
        <w:snapToGrid w:val="0"/>
        <w:spacing w:beforeAutospacing="0" w:afterAutospacing="0" w:line="450" w:lineRule="atLeast"/>
        <w:ind w:firstLine="420" w:firstLineChars="15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X XXX</w:t>
      </w:r>
    </w:p>
    <w:p>
      <w:pPr>
        <w:pStyle w:val="5"/>
        <w:snapToGrid w:val="0"/>
        <w:spacing w:beforeAutospacing="0" w:afterAutospacing="0" w:line="450" w:lineRule="atLeast"/>
        <w:ind w:firstLine="840" w:firstLineChars="30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XXX</w:t>
      </w:r>
    </w:p>
    <w:p>
      <w:pPr>
        <w:pStyle w:val="5"/>
        <w:snapToGrid w:val="0"/>
        <w:spacing w:beforeAutospacing="0" w:afterAutospacing="0" w:line="450" w:lineRule="atLeast"/>
        <w:ind w:firstLine="840" w:firstLineChars="30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第二节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XXX</w:t>
      </w:r>
    </w:p>
    <w:p>
      <w:pPr>
        <w:pStyle w:val="5"/>
        <w:snapToGrid w:val="0"/>
        <w:spacing w:beforeAutospacing="0" w:afterAutospacing="0" w:line="450" w:lineRule="atLeast"/>
        <w:ind w:firstLine="840" w:firstLineChars="30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 XXX</w:t>
      </w:r>
    </w:p>
    <w:p>
      <w:pPr>
        <w:pStyle w:val="5"/>
        <w:snapToGrid w:val="0"/>
        <w:spacing w:beforeAutospacing="0" w:afterAutospacing="0" w:line="450" w:lineRule="atLeast"/>
        <w:ind w:firstLine="840" w:firstLineChars="30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案例： </w:t>
      </w:r>
    </w:p>
    <w:p>
      <w:pPr>
        <w:pStyle w:val="5"/>
        <w:snapToGrid w:val="0"/>
        <w:spacing w:beforeAutospacing="0" w:afterAutospacing="0" w:line="450" w:lineRule="atLeast"/>
        <w:ind w:firstLine="420" w:firstLineChars="15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XX XXX</w:t>
      </w:r>
    </w:p>
    <w:p>
      <w:pPr>
        <w:pStyle w:val="5"/>
        <w:snapToGrid w:val="0"/>
        <w:spacing w:beforeAutospacing="0" w:afterAutospacing="0" w:line="450" w:lineRule="atLeast"/>
        <w:ind w:firstLine="420" w:firstLineChars="15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XX XXX</w:t>
      </w:r>
    </w:p>
    <w:p>
      <w:pPr>
        <w:pStyle w:val="5"/>
        <w:snapToGrid w:val="0"/>
        <w:spacing w:beforeAutospacing="0" w:afterAutospacing="0" w:line="450" w:lineRule="atLeast"/>
        <w:ind w:firstLine="420" w:firstLineChars="15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XX</w:t>
      </w:r>
    </w:p>
    <w:p>
      <w:pPr>
        <w:pStyle w:val="5"/>
        <w:snapToGrid w:val="0"/>
        <w:spacing w:beforeAutospacing="0" w:afterAutospacing="0" w:line="450" w:lineRule="atLeast"/>
        <w:ind w:firstLine="420" w:firstLineChars="15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XX</w:t>
      </w:r>
    </w:p>
    <w:p>
      <w:pPr>
        <w:pStyle w:val="5"/>
        <w:snapToGrid w:val="0"/>
        <w:spacing w:beforeAutospacing="0" w:afterAutospacing="0" w:line="450" w:lineRule="atLeast"/>
        <w:ind w:firstLine="420" w:firstLineChars="15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课程总结：</w:t>
      </w:r>
    </w:p>
    <w:p>
      <w:pPr>
        <w:rPr>
          <w:rFonts w:ascii="等线" w:hAnsi="等线" w:eastAsia="等线" w:cs="等线"/>
          <w:sz w:val="28"/>
          <w:szCs w:val="28"/>
        </w:rPr>
      </w:pPr>
    </w:p>
    <w:p>
      <w:pPr>
        <w:rPr>
          <w:rFonts w:ascii="等线" w:hAnsi="等线" w:eastAsia="等线" w:cs="等线"/>
          <w:sz w:val="28"/>
          <w:szCs w:val="28"/>
        </w:rPr>
      </w:pPr>
    </w:p>
    <w:p>
      <w:pPr>
        <w:pStyle w:val="5"/>
        <w:snapToGrid w:val="0"/>
        <w:spacing w:beforeAutospacing="0" w:afterAutospacing="0" w:line="450" w:lineRule="atLeast"/>
        <w:jc w:val="both"/>
        <w:rPr>
          <w:rFonts w:ascii="仿宋" w:hAnsi="仿宋" w:eastAsia="仿宋" w:cs="仿宋"/>
          <w:sz w:val="28"/>
          <w:szCs w:val="28"/>
        </w:rPr>
      </w:pPr>
    </w:p>
    <w:p>
      <w:pPr>
        <w:pStyle w:val="5"/>
        <w:snapToGrid w:val="0"/>
        <w:spacing w:beforeAutospacing="0" w:afterAutospacing="0" w:line="450" w:lineRule="atLeast"/>
        <w:jc w:val="both"/>
        <w:rPr>
          <w:rFonts w:ascii="仿宋" w:hAnsi="仿宋" w:eastAsia="仿宋" w:cs="仿宋"/>
          <w:sz w:val="28"/>
          <w:szCs w:val="28"/>
        </w:rPr>
      </w:pPr>
    </w:p>
    <w:p>
      <w:pPr>
        <w:pStyle w:val="5"/>
        <w:snapToGrid w:val="0"/>
        <w:spacing w:beforeAutospacing="0" w:afterAutospacing="0" w:line="450" w:lineRule="atLeast"/>
        <w:jc w:val="both"/>
        <w:rPr>
          <w:rFonts w:ascii="仿宋" w:hAnsi="仿宋" w:eastAsia="仿宋" w:cs="仿宋"/>
          <w:sz w:val="28"/>
          <w:szCs w:val="28"/>
        </w:rPr>
      </w:pPr>
    </w:p>
    <w:p>
      <w:pPr>
        <w:pStyle w:val="5"/>
        <w:snapToGrid w:val="0"/>
        <w:spacing w:beforeAutospacing="0" w:afterAutospacing="0" w:line="450" w:lineRule="atLeast"/>
        <w:jc w:val="both"/>
        <w:rPr>
          <w:rFonts w:ascii="仿宋" w:hAnsi="仿宋" w:eastAsia="仿宋" w:cs="仿宋"/>
          <w:sz w:val="28"/>
          <w:szCs w:val="28"/>
        </w:rPr>
      </w:pPr>
    </w:p>
    <w:p>
      <w:pPr>
        <w:pStyle w:val="5"/>
        <w:snapToGrid w:val="0"/>
        <w:spacing w:beforeAutospacing="0" w:afterAutospacing="0" w:line="450" w:lineRule="atLeast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附件3：</w:t>
      </w:r>
    </w:p>
    <w:p>
      <w:pPr>
        <w:pStyle w:val="5"/>
        <w:spacing w:beforeAutospacing="0" w:afterAutospacing="0" w:line="450" w:lineRule="atLeast"/>
        <w:jc w:val="center"/>
        <w:rPr>
          <w:rFonts w:ascii="等线" w:hAnsi="等线" w:eastAsia="等线" w:cs="等线"/>
          <w:color w:val="000000"/>
          <w:sz w:val="28"/>
          <w:szCs w:val="28"/>
        </w:rPr>
      </w:pPr>
      <w:r>
        <w:rPr>
          <w:rFonts w:hint="eastAsia" w:ascii="等线" w:hAnsi="等线" w:eastAsia="等线" w:cs="等线"/>
          <w:bCs/>
          <w:sz w:val="28"/>
          <w:szCs w:val="28"/>
        </w:rPr>
        <w:t>东北大学第三届“好讲师”</w:t>
      </w:r>
      <w:r>
        <w:rPr>
          <w:rFonts w:hint="eastAsia" w:ascii="等线" w:hAnsi="等线" w:eastAsia="等线" w:cs="等线"/>
          <w:color w:val="000000"/>
          <w:sz w:val="28"/>
          <w:szCs w:val="28"/>
        </w:rPr>
        <w:t>大赛测评表</w:t>
      </w:r>
    </w:p>
    <w:tbl>
      <w:tblPr>
        <w:tblStyle w:val="7"/>
        <w:tblW w:w="9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6"/>
        <w:gridCol w:w="6086"/>
        <w:gridCol w:w="1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978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大 赛 综 合 测 评 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96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测 评 项</w:t>
            </w:r>
          </w:p>
        </w:tc>
        <w:tc>
          <w:tcPr>
            <w:tcW w:w="608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测 评 内 容</w:t>
            </w: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评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96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课程设计</w:t>
            </w:r>
          </w:p>
        </w:tc>
        <w:tc>
          <w:tcPr>
            <w:tcW w:w="6086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课程针对性；实际指导意义；目标明确；结构清晰；</w:t>
            </w:r>
          </w:p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知识点清楚</w:t>
            </w:r>
          </w:p>
        </w:tc>
        <w:tc>
          <w:tcPr>
            <w:tcW w:w="1728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96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86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课程内容有时效性、有启发、目标达成</w:t>
            </w:r>
          </w:p>
        </w:tc>
        <w:tc>
          <w:tcPr>
            <w:tcW w:w="1728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96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86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教学形式、时间分配、知识点讲解</w:t>
            </w:r>
          </w:p>
        </w:tc>
        <w:tc>
          <w:tcPr>
            <w:tcW w:w="1728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96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授课能力</w:t>
            </w:r>
          </w:p>
        </w:tc>
        <w:tc>
          <w:tcPr>
            <w:tcW w:w="6086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内容理解、思考、研究或实践深入程度</w:t>
            </w:r>
          </w:p>
        </w:tc>
        <w:tc>
          <w:tcPr>
            <w:tcW w:w="1728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96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86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讲授经验、现场气氛、授课节奏、意愿调动</w:t>
            </w:r>
          </w:p>
        </w:tc>
        <w:tc>
          <w:tcPr>
            <w:tcW w:w="1728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96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86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口齿清晰、讲解生动、肢体语言、感染力</w:t>
            </w:r>
          </w:p>
        </w:tc>
        <w:tc>
          <w:tcPr>
            <w:tcW w:w="1728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96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课程呈现</w:t>
            </w:r>
          </w:p>
        </w:tc>
        <w:tc>
          <w:tcPr>
            <w:tcW w:w="6086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时间掌控准确，重点及时间安排合理</w:t>
            </w:r>
          </w:p>
        </w:tc>
        <w:tc>
          <w:tcPr>
            <w:tcW w:w="1728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66" w:type="dxa"/>
            <w:vMerge w:val="continue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86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PPT版式布局、多种教学方式运用</w:t>
            </w:r>
          </w:p>
        </w:tc>
        <w:tc>
          <w:tcPr>
            <w:tcW w:w="1728" w:type="dxa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atLeast"/>
        </w:trPr>
        <w:tc>
          <w:tcPr>
            <w:tcW w:w="9780" w:type="dxa"/>
            <w:gridSpan w:val="3"/>
            <w:vAlign w:val="center"/>
          </w:tcPr>
          <w:p>
            <w:pPr>
              <w:ind w:firstLine="280" w:firstLineChars="1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综合得分</w:t>
            </w:r>
          </w:p>
        </w:tc>
      </w:tr>
    </w:tbl>
    <w:p>
      <w:pPr>
        <w:ind w:firstLine="240" w:firstLineChars="100"/>
        <w:rPr>
          <w:rFonts w:ascii="仿宋" w:hAnsi="仿宋" w:eastAsia="仿宋" w:cs="仿宋"/>
          <w:sz w:val="24"/>
        </w:rPr>
      </w:pPr>
    </w:p>
    <w:p>
      <w:pPr>
        <w:ind w:firstLine="240" w:firstLineChars="1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※每个评分点满分10分，为方便统计，最低分差为1分</w:t>
      </w:r>
    </w:p>
    <w:p>
      <w:pPr>
        <w:ind w:firstLine="210" w:firstLineChars="100"/>
      </w:pPr>
    </w:p>
    <w:p>
      <w:pPr>
        <w:ind w:firstLine="210" w:firstLineChars="100"/>
      </w:pPr>
    </w:p>
    <w:p>
      <w:pPr>
        <w:ind w:firstLine="210" w:firstLineChars="100"/>
      </w:pPr>
    </w:p>
    <w:p>
      <w:pPr>
        <w:tabs>
          <w:tab w:val="left" w:pos="1155"/>
        </w:tabs>
      </w:pPr>
    </w:p>
    <w:sectPr>
      <w:pgSz w:w="11850" w:h="16783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A6278"/>
    <w:multiLevelType w:val="singleLevel"/>
    <w:tmpl w:val="533A627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C50"/>
    <w:rsid w:val="00171E34"/>
    <w:rsid w:val="002D76B2"/>
    <w:rsid w:val="0042503C"/>
    <w:rsid w:val="00550130"/>
    <w:rsid w:val="00567D2C"/>
    <w:rsid w:val="005A583C"/>
    <w:rsid w:val="00652875"/>
    <w:rsid w:val="006A5AD0"/>
    <w:rsid w:val="00A945D6"/>
    <w:rsid w:val="00BE0C50"/>
    <w:rsid w:val="02152BE1"/>
    <w:rsid w:val="030B094F"/>
    <w:rsid w:val="036021EF"/>
    <w:rsid w:val="03C01EE9"/>
    <w:rsid w:val="03F671D3"/>
    <w:rsid w:val="074C0405"/>
    <w:rsid w:val="07D36086"/>
    <w:rsid w:val="08540022"/>
    <w:rsid w:val="09A554C6"/>
    <w:rsid w:val="0B1447D5"/>
    <w:rsid w:val="0FCC0BFB"/>
    <w:rsid w:val="10232C1B"/>
    <w:rsid w:val="113E0534"/>
    <w:rsid w:val="129D014C"/>
    <w:rsid w:val="12C32228"/>
    <w:rsid w:val="14970499"/>
    <w:rsid w:val="14D72CE2"/>
    <w:rsid w:val="154A2574"/>
    <w:rsid w:val="16C33B89"/>
    <w:rsid w:val="19042202"/>
    <w:rsid w:val="19097CD3"/>
    <w:rsid w:val="1A3147DF"/>
    <w:rsid w:val="1DF85319"/>
    <w:rsid w:val="1F8125D4"/>
    <w:rsid w:val="208E160C"/>
    <w:rsid w:val="21A33D5C"/>
    <w:rsid w:val="22CE5880"/>
    <w:rsid w:val="24DD235C"/>
    <w:rsid w:val="25571E16"/>
    <w:rsid w:val="25DB2B77"/>
    <w:rsid w:val="26A4480D"/>
    <w:rsid w:val="26C25857"/>
    <w:rsid w:val="29547FFA"/>
    <w:rsid w:val="2A0C1831"/>
    <w:rsid w:val="2A262939"/>
    <w:rsid w:val="2A5C6848"/>
    <w:rsid w:val="2E1018F8"/>
    <w:rsid w:val="33276F5F"/>
    <w:rsid w:val="34F14722"/>
    <w:rsid w:val="35A76186"/>
    <w:rsid w:val="35DD6F3F"/>
    <w:rsid w:val="36EB4017"/>
    <w:rsid w:val="3BEB2883"/>
    <w:rsid w:val="3C151A43"/>
    <w:rsid w:val="3C47549F"/>
    <w:rsid w:val="3D1F14FE"/>
    <w:rsid w:val="3E84495E"/>
    <w:rsid w:val="3E9D66ED"/>
    <w:rsid w:val="3EA60B50"/>
    <w:rsid w:val="43502521"/>
    <w:rsid w:val="43A77E6C"/>
    <w:rsid w:val="45241D84"/>
    <w:rsid w:val="45D953E0"/>
    <w:rsid w:val="4674228B"/>
    <w:rsid w:val="46F7060E"/>
    <w:rsid w:val="48BB711A"/>
    <w:rsid w:val="4A3033E9"/>
    <w:rsid w:val="4A8C325F"/>
    <w:rsid w:val="4AF94534"/>
    <w:rsid w:val="4B122B4D"/>
    <w:rsid w:val="4ED27B54"/>
    <w:rsid w:val="4F55032D"/>
    <w:rsid w:val="4FBE6C45"/>
    <w:rsid w:val="50C94B53"/>
    <w:rsid w:val="559464C6"/>
    <w:rsid w:val="5627037D"/>
    <w:rsid w:val="5637047C"/>
    <w:rsid w:val="563F73F1"/>
    <w:rsid w:val="56851300"/>
    <w:rsid w:val="568916CC"/>
    <w:rsid w:val="57025B03"/>
    <w:rsid w:val="57354E58"/>
    <w:rsid w:val="58927146"/>
    <w:rsid w:val="5B73119A"/>
    <w:rsid w:val="5E07406C"/>
    <w:rsid w:val="5F2D43D1"/>
    <w:rsid w:val="5FE42D51"/>
    <w:rsid w:val="62BF2767"/>
    <w:rsid w:val="642949C0"/>
    <w:rsid w:val="6AB54FCB"/>
    <w:rsid w:val="6BC51DDB"/>
    <w:rsid w:val="72E57DDC"/>
    <w:rsid w:val="74501833"/>
    <w:rsid w:val="74C96198"/>
    <w:rsid w:val="76022EF5"/>
    <w:rsid w:val="7A025DC1"/>
    <w:rsid w:val="7A7367F3"/>
    <w:rsid w:val="7C5822C0"/>
    <w:rsid w:val="7D284570"/>
    <w:rsid w:val="7D5939DE"/>
    <w:rsid w:val="7DF5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qFormat/>
    <w:uiPriority w:val="0"/>
    <w:pPr>
      <w:ind w:left="100" w:leftChars="250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日期 字符"/>
    <w:basedOn w:val="8"/>
    <w:link w:val="2"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363</Words>
  <Characters>2071</Characters>
  <Lines>17</Lines>
  <Paragraphs>4</Paragraphs>
  <TotalTime>44</TotalTime>
  <ScaleCrop>false</ScaleCrop>
  <LinksUpToDate>false</LinksUpToDate>
  <CharactersWithSpaces>2430</CharactersWithSpaces>
  <Application>WPS Office_11.3.0.8513_F1E327BC-269C-435d-A152-05C5408002CA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nan</dc:creator>
  <cp:lastModifiedBy>滕老师</cp:lastModifiedBy>
  <cp:lastPrinted>2019-04-03T06:34:00Z</cp:lastPrinted>
  <dcterms:modified xsi:type="dcterms:W3CDTF">2019-04-04T01:17:18Z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